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289" w:rsidRDefault="007D6289" w:rsidP="007D6289">
      <w:pPr>
        <w:pStyle w:val="Heading1"/>
        <w:ind w:left="0" w:firstLine="0"/>
        <w:jc w:val="center"/>
        <w:rPr>
          <w:rFonts w:ascii="Verdana" w:hAnsi="Verdana"/>
        </w:rPr>
      </w:pPr>
      <w:r>
        <w:rPr>
          <w:rFonts w:ascii="Verdana" w:hAnsi="Verdana"/>
        </w:rPr>
        <w:t>Технічне завдання</w:t>
      </w:r>
    </w:p>
    <w:p w:rsidR="007D6289" w:rsidRDefault="007D6289" w:rsidP="007D6289">
      <w:pPr>
        <w:jc w:val="center"/>
        <w:rPr>
          <w:rFonts w:ascii="Verdana" w:hAnsi="Verdana"/>
          <w:b/>
          <w:sz w:val="24"/>
          <w:szCs w:val="24"/>
        </w:rPr>
      </w:pPr>
      <w:r>
        <w:rPr>
          <w:rFonts w:ascii="Verdana" w:hAnsi="Verdana"/>
          <w:b/>
          <w:sz w:val="24"/>
          <w:szCs w:val="24"/>
        </w:rPr>
        <w:t xml:space="preserve">до закупівлі послуг консультанта з питань </w:t>
      </w:r>
      <w:proofErr w:type="spellStart"/>
      <w:r>
        <w:rPr>
          <w:rFonts w:ascii="Verdana" w:hAnsi="Verdana"/>
          <w:b/>
          <w:sz w:val="24"/>
          <w:szCs w:val="24"/>
        </w:rPr>
        <w:t>антикорупції</w:t>
      </w:r>
      <w:proofErr w:type="spellEnd"/>
      <w:r>
        <w:rPr>
          <w:rFonts w:ascii="Verdana" w:hAnsi="Verdana"/>
          <w:b/>
          <w:sz w:val="24"/>
          <w:szCs w:val="24"/>
        </w:rPr>
        <w:t xml:space="preserve"> </w:t>
      </w:r>
    </w:p>
    <w:p w:rsidR="007D6289" w:rsidRDefault="007D6289" w:rsidP="007D6289">
      <w:pPr>
        <w:jc w:val="center"/>
        <w:rPr>
          <w:rFonts w:ascii="Verdana" w:hAnsi="Verdana"/>
          <w:b/>
          <w:sz w:val="24"/>
          <w:szCs w:val="24"/>
        </w:rPr>
      </w:pPr>
      <w:r>
        <w:rPr>
          <w:rFonts w:ascii="Verdana" w:hAnsi="Verdana"/>
          <w:b/>
          <w:sz w:val="24"/>
          <w:szCs w:val="24"/>
        </w:rPr>
        <w:t>у сфері взаємодії з бізнесом для Миколаївської міської ради</w:t>
      </w:r>
    </w:p>
    <w:p w:rsidR="007D6289" w:rsidRDefault="007D6289" w:rsidP="007D6289">
      <w:pPr>
        <w:pStyle w:val="BodyText"/>
        <w:ind w:left="0"/>
        <w:jc w:val="both"/>
        <w:rPr>
          <w:rFonts w:ascii="Verdana" w:hAnsi="Verdana"/>
          <w:b/>
        </w:rPr>
      </w:pPr>
    </w:p>
    <w:p w:rsidR="007D6289" w:rsidRDefault="007D6289" w:rsidP="007D6289">
      <w:pPr>
        <w:pStyle w:val="BodyText"/>
        <w:ind w:left="0"/>
        <w:jc w:val="both"/>
        <w:rPr>
          <w:rFonts w:ascii="Verdana" w:hAnsi="Verdana"/>
        </w:rPr>
      </w:pPr>
      <w:r>
        <w:rPr>
          <w:rFonts w:ascii="Verdana" w:hAnsi="Verdana"/>
        </w:rPr>
        <w:t>Антикорупційна ініціатива ЄС в Україні (EUACI) – це комплексна антикорупційна програма ЄС в Україні, що фінансується ЄС та Данією та реалізується Міністерством закордонних справ Данії. Програма сприяє зменшенню корупції в Україні на національному та місцевому рівнях шляхом розширення прав і можливостей громадян, громадянського суспільства та бізнесу, а також посилення спроможності державних установ та органів місцевого самоврядування.</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rPr>
      </w:pPr>
      <w:r>
        <w:rPr>
          <w:rFonts w:ascii="Verdana" w:hAnsi="Verdana"/>
        </w:rPr>
        <w:t>EUACI розпочалася у 2017 році й відтоді зарекомендувала себе як флагманська програма ЄС. У травні 2020 року розпочався 4-річний етап з бюджетом 22.9 млн євро, а EUACI стала децентралізованим підрозділом МЗС Данії. EUACI відіграє ключову роль у забезпеченні сталого інституційного розвитку антикорупційних інституцій.</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rPr>
      </w:pPr>
      <w:r>
        <w:rPr>
          <w:rFonts w:ascii="Verdana" w:hAnsi="Verdana"/>
        </w:rPr>
        <w:t>У шести містах (Житомир, Маріуполь, Нікополь, Червоноград, Чернівці, Миколаїв) EUACI співпрацює з міськими головами та міськими радами, а також з громадянським суспільством для посилення прозорості, підзвітності та доброчесності.</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rPr>
      </w:pPr>
      <w:r>
        <w:rPr>
          <w:rFonts w:ascii="Verdana" w:hAnsi="Verdana"/>
        </w:rPr>
        <w:t xml:space="preserve">У серпні 2022 року було підписано меморандум про співпрацю з Миколаївським міським головою Олександром </w:t>
      </w:r>
      <w:proofErr w:type="spellStart"/>
      <w:r>
        <w:rPr>
          <w:rFonts w:ascii="Verdana" w:hAnsi="Verdana"/>
        </w:rPr>
        <w:t>Сєнкевичем</w:t>
      </w:r>
      <w:proofErr w:type="spellEnd"/>
      <w:r>
        <w:rPr>
          <w:rFonts w:ascii="Verdana" w:hAnsi="Verdana"/>
        </w:rPr>
        <w:t>, що передбачає впровадження найкращих практик прозорості та підзвітності у Миколаєві з фокусом на процес відбудови міста. Опікуватиметься мінімізацією корупційних ризиків місцевого врядування в Миколаєві Антикорупційна ініціатива ЄС в Україні.</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rPr>
      </w:pPr>
      <w:r>
        <w:rPr>
          <w:rFonts w:ascii="Verdana" w:hAnsi="Verdana"/>
        </w:rPr>
        <w:t xml:space="preserve">За результатами виконання технічного завдання має бути підготовлене аналітичне дослідження, яке повинне містити аналіз корупційних ризиків на національному рівні за двома напрямками: взаємодія з бізнесом та регуляторна діяльність. В дослідженні мають бути описані корупційні ризики та запропоновані заходи з їхнього усунення, які надалі увійдуть до типової антикорупційної програми місцевої ради (територіальної громади). Звіт повинен містити найпоширеніші серед органів місцевого самоврядування корупційні ризики, зокрема ідентифіковані, і в процесі </w:t>
      </w:r>
      <w:r>
        <w:rPr>
          <w:rFonts w:ascii="Verdana" w:hAnsi="Verdana"/>
        </w:rPr>
        <w:lastRenderedPageBreak/>
        <w:t>взаємодії Миколаївської міської ради з бізнес-середовищем міста водночас бути універсальним для застосування та поширення, як краща практика серед ОМС країни.</w:t>
      </w:r>
    </w:p>
    <w:p w:rsidR="007D6289" w:rsidRDefault="007D6289" w:rsidP="007D6289">
      <w:pPr>
        <w:pStyle w:val="BodyText"/>
        <w:ind w:left="0"/>
        <w:jc w:val="both"/>
        <w:rPr>
          <w:rFonts w:ascii="Verdana" w:hAnsi="Verdana"/>
        </w:rPr>
      </w:pPr>
    </w:p>
    <w:p w:rsidR="007D6289" w:rsidRDefault="007D6289" w:rsidP="007D6289">
      <w:pPr>
        <w:pStyle w:val="Heading1"/>
        <w:numPr>
          <w:ilvl w:val="0"/>
          <w:numId w:val="8"/>
        </w:numPr>
        <w:tabs>
          <w:tab w:val="left" w:pos="490"/>
        </w:tabs>
        <w:ind w:left="0"/>
        <w:jc w:val="both"/>
        <w:rPr>
          <w:rFonts w:ascii="Verdana" w:hAnsi="Verdana"/>
        </w:rPr>
      </w:pPr>
      <w:r>
        <w:rPr>
          <w:rFonts w:ascii="Verdana" w:hAnsi="Verdana"/>
        </w:rPr>
        <w:t>Завдання та функції консультанта</w:t>
      </w:r>
    </w:p>
    <w:p w:rsidR="007D6289" w:rsidRDefault="007D6289" w:rsidP="007D6289">
      <w:pPr>
        <w:pStyle w:val="BodyText"/>
        <w:ind w:left="0"/>
        <w:jc w:val="both"/>
        <w:rPr>
          <w:rFonts w:ascii="Verdana" w:hAnsi="Verdana"/>
        </w:rPr>
      </w:pPr>
      <w:r>
        <w:rPr>
          <w:rFonts w:ascii="Verdana" w:hAnsi="Verdana"/>
        </w:rPr>
        <w:t>Робота консультанта передбачає надання консультацій для Миколаївської міської ради та проведення досліджень з метою проведення детальної оцінки регуляторного</w:t>
      </w:r>
      <w:r>
        <w:rPr>
          <w:rFonts w:ascii="Verdana" w:hAnsi="Verdana"/>
          <w:lang w:val="en-US"/>
        </w:rPr>
        <w:t xml:space="preserve"> </w:t>
      </w:r>
      <w:r>
        <w:rPr>
          <w:rFonts w:ascii="Verdana" w:hAnsi="Verdana"/>
        </w:rPr>
        <w:t>середовища, виявлення корупційних ризиків, зокрема в регулюванні суб’єктів господарювання, механізмів та природи взаємодії з бізнесом та підготовку звіту.</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rPr>
      </w:pPr>
      <w:r>
        <w:rPr>
          <w:rFonts w:ascii="Verdana" w:hAnsi="Verdana"/>
        </w:rPr>
        <w:t>Завдання:</w:t>
      </w:r>
    </w:p>
    <w:p w:rsidR="007D6289" w:rsidRDefault="007D6289" w:rsidP="007D6289">
      <w:pPr>
        <w:pStyle w:val="ListParagraph"/>
        <w:numPr>
          <w:ilvl w:val="0"/>
          <w:numId w:val="9"/>
        </w:numPr>
        <w:tabs>
          <w:tab w:val="left" w:pos="820"/>
        </w:tabs>
        <w:ind w:left="0"/>
        <w:jc w:val="both"/>
        <w:rPr>
          <w:rFonts w:ascii="Verdana" w:hAnsi="Verdana"/>
          <w:sz w:val="24"/>
          <w:szCs w:val="24"/>
        </w:rPr>
      </w:pPr>
      <w:r>
        <w:rPr>
          <w:rFonts w:ascii="Verdana" w:hAnsi="Verdana"/>
          <w:sz w:val="24"/>
          <w:szCs w:val="24"/>
        </w:rPr>
        <w:t xml:space="preserve">Провести детальну оцінку регуляторної діяльності органу місцевого самоврядування через аналіз офіційних </w:t>
      </w:r>
      <w:proofErr w:type="spellStart"/>
      <w:r>
        <w:rPr>
          <w:rFonts w:ascii="Verdana" w:hAnsi="Verdana"/>
          <w:sz w:val="24"/>
          <w:szCs w:val="24"/>
        </w:rPr>
        <w:t>вебресурсів</w:t>
      </w:r>
      <w:proofErr w:type="spellEnd"/>
      <w:r>
        <w:rPr>
          <w:rFonts w:ascii="Verdana" w:hAnsi="Verdana"/>
          <w:sz w:val="24"/>
          <w:szCs w:val="24"/>
        </w:rPr>
        <w:t>.</w:t>
      </w:r>
    </w:p>
    <w:p w:rsidR="007D6289" w:rsidRDefault="007D6289" w:rsidP="007D6289">
      <w:pPr>
        <w:pStyle w:val="ListParagraph"/>
        <w:numPr>
          <w:ilvl w:val="0"/>
          <w:numId w:val="9"/>
        </w:numPr>
        <w:tabs>
          <w:tab w:val="left" w:pos="820"/>
        </w:tabs>
        <w:ind w:left="0"/>
        <w:jc w:val="both"/>
        <w:rPr>
          <w:rFonts w:ascii="Verdana" w:hAnsi="Verdana"/>
          <w:sz w:val="24"/>
          <w:szCs w:val="24"/>
        </w:rPr>
      </w:pPr>
      <w:r>
        <w:rPr>
          <w:rFonts w:ascii="Verdana" w:hAnsi="Verdana"/>
          <w:sz w:val="24"/>
          <w:szCs w:val="24"/>
        </w:rPr>
        <w:t>У співпраці з Національним агентством з питань запобігання корупції ідентифікувати та описати корупційні ризики, які виникають у діяльності органів місцевого самоврядування, комунальних підприємств, установ, організацій у сфері регуляторної політики та взаємодії з бізнесом на прикладі Миколаївської міської ради.</w:t>
      </w:r>
    </w:p>
    <w:p w:rsidR="007D6289" w:rsidRDefault="007D6289" w:rsidP="007D6289">
      <w:pPr>
        <w:pStyle w:val="ListParagraph"/>
        <w:numPr>
          <w:ilvl w:val="0"/>
          <w:numId w:val="9"/>
        </w:numPr>
        <w:tabs>
          <w:tab w:val="left" w:pos="820"/>
        </w:tabs>
        <w:ind w:left="0"/>
        <w:jc w:val="both"/>
        <w:rPr>
          <w:rFonts w:ascii="Verdana" w:hAnsi="Verdana"/>
          <w:sz w:val="24"/>
          <w:szCs w:val="24"/>
        </w:rPr>
      </w:pPr>
      <w:r>
        <w:rPr>
          <w:rFonts w:ascii="Verdana" w:hAnsi="Verdana"/>
          <w:sz w:val="24"/>
          <w:szCs w:val="24"/>
        </w:rPr>
        <w:t>Для кожного ризику визначити його рівень ризику, відповідно до вищезгаданої методології</w:t>
      </w:r>
    </w:p>
    <w:p w:rsidR="007D6289" w:rsidRDefault="007D6289" w:rsidP="007D6289">
      <w:pPr>
        <w:pStyle w:val="ListParagraph"/>
        <w:numPr>
          <w:ilvl w:val="0"/>
          <w:numId w:val="9"/>
        </w:numPr>
        <w:tabs>
          <w:tab w:val="left" w:pos="820"/>
        </w:tabs>
        <w:ind w:left="0"/>
        <w:jc w:val="both"/>
        <w:rPr>
          <w:rFonts w:ascii="Verdana" w:hAnsi="Verdana"/>
          <w:sz w:val="24"/>
          <w:szCs w:val="24"/>
        </w:rPr>
      </w:pPr>
      <w:r>
        <w:rPr>
          <w:rFonts w:ascii="Verdana" w:hAnsi="Verdana"/>
          <w:sz w:val="24"/>
          <w:szCs w:val="24"/>
        </w:rPr>
        <w:t>Визначити спільно з представниками Миколаївської міської ради заходи з мінімізації визначених ризиків.</w:t>
      </w:r>
    </w:p>
    <w:p w:rsidR="007D6289" w:rsidRDefault="007D6289" w:rsidP="007D6289">
      <w:pPr>
        <w:pStyle w:val="BodyText"/>
        <w:ind w:left="0"/>
        <w:jc w:val="both"/>
        <w:rPr>
          <w:rFonts w:ascii="Verdana" w:hAnsi="Verdana"/>
        </w:rPr>
      </w:pPr>
    </w:p>
    <w:p w:rsidR="007D6289" w:rsidRDefault="007D6289" w:rsidP="007D6289">
      <w:pPr>
        <w:pStyle w:val="BodyText"/>
        <w:ind w:left="0"/>
        <w:jc w:val="both"/>
        <w:rPr>
          <w:rFonts w:ascii="Verdana" w:hAnsi="Verdana"/>
          <w:lang w:val="en-US"/>
        </w:rPr>
      </w:pPr>
      <w:r>
        <w:rPr>
          <w:rFonts w:ascii="Verdana" w:hAnsi="Verdana"/>
        </w:rPr>
        <w:t>Потенційний строк надання послуг: з 15.12.2022 до 20.03.202</w:t>
      </w:r>
      <w:r>
        <w:rPr>
          <w:rFonts w:ascii="Verdana" w:hAnsi="Verdana"/>
          <w:lang w:val="en-US"/>
        </w:rPr>
        <w:t>2</w:t>
      </w:r>
    </w:p>
    <w:p w:rsidR="007D6289" w:rsidRDefault="007D6289" w:rsidP="007D6289">
      <w:pPr>
        <w:pStyle w:val="BodyText"/>
        <w:ind w:left="0"/>
        <w:jc w:val="both"/>
        <w:rPr>
          <w:rFonts w:ascii="Verdana" w:hAnsi="Verdana"/>
        </w:rPr>
      </w:pPr>
    </w:p>
    <w:p w:rsidR="007D6289" w:rsidRDefault="007D6289" w:rsidP="007D6289">
      <w:pPr>
        <w:pStyle w:val="Heading1"/>
        <w:numPr>
          <w:ilvl w:val="0"/>
          <w:numId w:val="8"/>
        </w:numPr>
        <w:tabs>
          <w:tab w:val="left" w:pos="490"/>
        </w:tabs>
        <w:ind w:left="0"/>
        <w:jc w:val="both"/>
        <w:rPr>
          <w:rFonts w:ascii="Verdana" w:hAnsi="Verdana"/>
        </w:rPr>
      </w:pPr>
      <w:r>
        <w:rPr>
          <w:rFonts w:ascii="Verdana" w:hAnsi="Verdana"/>
        </w:rPr>
        <w:t>Опис результатів діяльності консультанта</w:t>
      </w:r>
    </w:p>
    <w:p w:rsidR="007D6289" w:rsidRDefault="007D6289" w:rsidP="007D6289">
      <w:pPr>
        <w:pStyle w:val="BodyText"/>
        <w:ind w:left="0"/>
        <w:jc w:val="both"/>
        <w:rPr>
          <w:rFonts w:ascii="Verdana" w:hAnsi="Verdana"/>
        </w:rPr>
      </w:pPr>
      <w:r>
        <w:rPr>
          <w:rFonts w:ascii="Verdana" w:hAnsi="Verdana"/>
        </w:rPr>
        <w:t>За результатами наданих послуг консультант зобов’язаний надати:</w:t>
      </w:r>
    </w:p>
    <w:p w:rsidR="007D6289" w:rsidRDefault="007D6289" w:rsidP="007D6289">
      <w:pPr>
        <w:pStyle w:val="ListParagraph"/>
        <w:numPr>
          <w:ilvl w:val="1"/>
          <w:numId w:val="8"/>
        </w:numPr>
        <w:tabs>
          <w:tab w:val="left" w:pos="820"/>
        </w:tabs>
        <w:ind w:left="0"/>
        <w:jc w:val="both"/>
        <w:rPr>
          <w:rFonts w:ascii="Verdana" w:hAnsi="Verdana"/>
          <w:sz w:val="24"/>
          <w:szCs w:val="24"/>
        </w:rPr>
      </w:pPr>
      <w:r>
        <w:rPr>
          <w:rFonts w:ascii="Verdana" w:hAnsi="Verdana"/>
          <w:sz w:val="24"/>
          <w:szCs w:val="24"/>
        </w:rPr>
        <w:t>Звіт та рекомендації, сформовані на основі оцінки регуляторного середовища Миколаївської міської ради.</w:t>
      </w:r>
    </w:p>
    <w:p w:rsidR="007D6289" w:rsidRDefault="007D6289" w:rsidP="007D6289">
      <w:pPr>
        <w:pStyle w:val="ListParagraph"/>
        <w:numPr>
          <w:ilvl w:val="1"/>
          <w:numId w:val="8"/>
        </w:numPr>
        <w:tabs>
          <w:tab w:val="left" w:pos="820"/>
        </w:tabs>
        <w:ind w:left="0"/>
        <w:jc w:val="both"/>
        <w:rPr>
          <w:rFonts w:ascii="Verdana" w:hAnsi="Verdana"/>
          <w:sz w:val="24"/>
          <w:szCs w:val="24"/>
        </w:rPr>
      </w:pPr>
      <w:r>
        <w:rPr>
          <w:rFonts w:ascii="Verdana" w:hAnsi="Verdana"/>
          <w:sz w:val="24"/>
          <w:szCs w:val="24"/>
        </w:rPr>
        <w:t>Звіт за результатами дослідження з описом ризиків, які притаманні як сільським / селищним, так і міським територіальним громадам з врахуванням Методології управління корупційними ризиками НАЗК.</w:t>
      </w:r>
    </w:p>
    <w:p w:rsidR="007D6289" w:rsidRDefault="007D6289" w:rsidP="007D6289">
      <w:pPr>
        <w:pStyle w:val="ListParagraph"/>
        <w:numPr>
          <w:ilvl w:val="2"/>
          <w:numId w:val="8"/>
        </w:numPr>
        <w:tabs>
          <w:tab w:val="left" w:pos="820"/>
        </w:tabs>
        <w:ind w:left="0"/>
        <w:jc w:val="both"/>
        <w:rPr>
          <w:rFonts w:ascii="Verdana" w:hAnsi="Verdana"/>
          <w:sz w:val="24"/>
          <w:szCs w:val="24"/>
        </w:rPr>
      </w:pPr>
      <w:r>
        <w:rPr>
          <w:rFonts w:ascii="Verdana" w:hAnsi="Verdana"/>
          <w:sz w:val="24"/>
          <w:szCs w:val="24"/>
        </w:rPr>
        <w:t>Опис кожного ризику через такі категорії як: (1) опис ризику (корупційної схеми),</w:t>
      </w:r>
      <w:r>
        <w:rPr>
          <w:rFonts w:ascii="Verdana" w:hAnsi="Verdana"/>
          <w:sz w:val="24"/>
          <w:szCs w:val="24"/>
          <w:lang w:val="en-US"/>
        </w:rPr>
        <w:t xml:space="preserve"> </w:t>
      </w:r>
      <w:r>
        <w:rPr>
          <w:rFonts w:ascii="Verdana" w:hAnsi="Verdana"/>
          <w:sz w:val="24"/>
          <w:szCs w:val="24"/>
        </w:rPr>
        <w:t xml:space="preserve">(2) опис джерела (чинника) ризику, (3) існуючі заходи контролю, (4) опис практичного кейса (із посиланням на джерело інформації, наприклад, судову практику, повідомлення правоохоронних органів), який підтверджує, що ризик матеріалізувався, (5) наслідки реалізації </w:t>
      </w:r>
      <w:r>
        <w:rPr>
          <w:rFonts w:ascii="Verdana" w:hAnsi="Verdana"/>
          <w:sz w:val="24"/>
          <w:szCs w:val="24"/>
        </w:rPr>
        <w:lastRenderedPageBreak/>
        <w:t>ризику.</w:t>
      </w:r>
    </w:p>
    <w:p w:rsidR="007D6289" w:rsidRDefault="007D6289" w:rsidP="007D6289">
      <w:pPr>
        <w:pStyle w:val="BodyText"/>
        <w:ind w:left="0"/>
        <w:jc w:val="both"/>
        <w:rPr>
          <w:rFonts w:ascii="Verdana" w:hAnsi="Verdana"/>
        </w:rPr>
      </w:pPr>
    </w:p>
    <w:p w:rsidR="007D6289" w:rsidRDefault="007D6289" w:rsidP="007D6289">
      <w:pPr>
        <w:pStyle w:val="Heading1"/>
        <w:numPr>
          <w:ilvl w:val="1"/>
          <w:numId w:val="8"/>
        </w:numPr>
        <w:tabs>
          <w:tab w:val="left" w:pos="820"/>
        </w:tabs>
        <w:ind w:left="0"/>
        <w:jc w:val="both"/>
        <w:rPr>
          <w:rFonts w:ascii="Verdana" w:hAnsi="Verdana"/>
        </w:rPr>
      </w:pPr>
      <w:r>
        <w:rPr>
          <w:rFonts w:ascii="Verdana" w:hAnsi="Verdana"/>
        </w:rPr>
        <w:t>Опис кваліфікаційних вимог до консультанта:</w:t>
      </w:r>
    </w:p>
    <w:p w:rsidR="007D6289" w:rsidRDefault="007D6289" w:rsidP="007D6289">
      <w:pPr>
        <w:pStyle w:val="ListParagraph"/>
        <w:numPr>
          <w:ilvl w:val="0"/>
          <w:numId w:val="10"/>
        </w:numPr>
        <w:tabs>
          <w:tab w:val="left" w:pos="940"/>
        </w:tabs>
        <w:ind w:left="0"/>
        <w:jc w:val="both"/>
        <w:rPr>
          <w:rFonts w:ascii="Verdana" w:hAnsi="Verdana"/>
          <w:sz w:val="24"/>
          <w:szCs w:val="24"/>
        </w:rPr>
      </w:pPr>
      <w:r>
        <w:rPr>
          <w:rFonts w:ascii="Verdana" w:hAnsi="Verdana"/>
          <w:sz w:val="24"/>
          <w:szCs w:val="24"/>
        </w:rPr>
        <w:t>Ступінь магістра у сфері права, публічного управління, політичних науках, міжнародних відносинах чи інших суміжних галузях;</w:t>
      </w:r>
    </w:p>
    <w:p w:rsidR="007D6289" w:rsidRDefault="007D6289" w:rsidP="007D6289">
      <w:pPr>
        <w:pStyle w:val="ListParagraph"/>
        <w:numPr>
          <w:ilvl w:val="0"/>
          <w:numId w:val="10"/>
        </w:numPr>
        <w:tabs>
          <w:tab w:val="left" w:pos="940"/>
        </w:tabs>
        <w:ind w:left="0"/>
        <w:jc w:val="both"/>
        <w:rPr>
          <w:rFonts w:ascii="Verdana" w:hAnsi="Verdana"/>
          <w:sz w:val="24"/>
          <w:szCs w:val="24"/>
        </w:rPr>
      </w:pPr>
      <w:r>
        <w:rPr>
          <w:rFonts w:ascii="Verdana" w:hAnsi="Verdana"/>
          <w:sz w:val="24"/>
          <w:szCs w:val="24"/>
        </w:rPr>
        <w:t>Досвід співпраці з органами місцевого самоврядування не менше 3 років;</w:t>
      </w:r>
    </w:p>
    <w:p w:rsidR="007D6289" w:rsidRDefault="007D6289" w:rsidP="007D6289">
      <w:pPr>
        <w:pStyle w:val="ListParagraph"/>
        <w:numPr>
          <w:ilvl w:val="0"/>
          <w:numId w:val="10"/>
        </w:numPr>
        <w:tabs>
          <w:tab w:val="left" w:pos="940"/>
        </w:tabs>
        <w:ind w:left="0"/>
        <w:jc w:val="both"/>
        <w:rPr>
          <w:rFonts w:ascii="Verdana" w:hAnsi="Verdana"/>
          <w:sz w:val="24"/>
          <w:szCs w:val="24"/>
        </w:rPr>
      </w:pPr>
      <w:r>
        <w:rPr>
          <w:rFonts w:ascii="Verdana" w:hAnsi="Verdana"/>
          <w:sz w:val="24"/>
          <w:szCs w:val="24"/>
        </w:rPr>
        <w:t xml:space="preserve">Досвід реалізації спільних </w:t>
      </w:r>
      <w:proofErr w:type="spellStart"/>
      <w:r>
        <w:rPr>
          <w:rFonts w:ascii="Verdana" w:hAnsi="Verdana"/>
          <w:sz w:val="24"/>
          <w:szCs w:val="24"/>
        </w:rPr>
        <w:t>проєктів</w:t>
      </w:r>
      <w:proofErr w:type="spellEnd"/>
      <w:r>
        <w:rPr>
          <w:rFonts w:ascii="Verdana" w:hAnsi="Verdana"/>
          <w:sz w:val="24"/>
          <w:szCs w:val="24"/>
        </w:rPr>
        <w:t xml:space="preserve"> з органами місцевого самоврядування у сфері регуляторної політики не менше ніж 3 роки;</w:t>
      </w:r>
    </w:p>
    <w:p w:rsidR="007D6289" w:rsidRDefault="007D6289" w:rsidP="007D6289">
      <w:pPr>
        <w:pStyle w:val="ListParagraph"/>
        <w:numPr>
          <w:ilvl w:val="0"/>
          <w:numId w:val="10"/>
        </w:numPr>
        <w:tabs>
          <w:tab w:val="left" w:pos="940"/>
        </w:tabs>
        <w:ind w:left="0"/>
        <w:jc w:val="both"/>
        <w:rPr>
          <w:rFonts w:ascii="Verdana" w:hAnsi="Verdana"/>
          <w:sz w:val="24"/>
          <w:szCs w:val="24"/>
        </w:rPr>
      </w:pPr>
      <w:r>
        <w:rPr>
          <w:rFonts w:ascii="Verdana" w:hAnsi="Verdana"/>
          <w:sz w:val="24"/>
          <w:szCs w:val="24"/>
        </w:rPr>
        <w:t>Досвід аналізу, оцінки, підготовки рекомендацій для регуляторних актів буде перевагою.</w:t>
      </w:r>
    </w:p>
    <w:p w:rsidR="007D6289" w:rsidRDefault="007D6289" w:rsidP="007D6289">
      <w:pPr>
        <w:pStyle w:val="BodyText"/>
        <w:ind w:left="0"/>
        <w:jc w:val="both"/>
        <w:rPr>
          <w:rFonts w:ascii="Verdana" w:hAnsi="Verdana"/>
        </w:rPr>
      </w:pPr>
    </w:p>
    <w:p w:rsidR="007D6289" w:rsidRDefault="007D6289" w:rsidP="007D6289">
      <w:pPr>
        <w:pStyle w:val="Heading1"/>
        <w:numPr>
          <w:ilvl w:val="1"/>
          <w:numId w:val="8"/>
        </w:numPr>
        <w:tabs>
          <w:tab w:val="left" w:pos="820"/>
        </w:tabs>
        <w:ind w:left="0"/>
        <w:jc w:val="both"/>
        <w:rPr>
          <w:rFonts w:ascii="Verdana" w:hAnsi="Verdana"/>
        </w:rPr>
      </w:pPr>
      <w:r>
        <w:rPr>
          <w:rFonts w:ascii="Verdana" w:hAnsi="Verdana"/>
        </w:rPr>
        <w:t>Процедура звітування, оплати послуг та координація роботи</w:t>
      </w:r>
    </w:p>
    <w:p w:rsidR="007D6289" w:rsidRDefault="007D6289" w:rsidP="007D6289">
      <w:pPr>
        <w:pStyle w:val="BodyText"/>
        <w:ind w:left="0"/>
        <w:jc w:val="both"/>
        <w:rPr>
          <w:rFonts w:ascii="Verdana" w:hAnsi="Verdana"/>
        </w:rPr>
      </w:pPr>
      <w:r>
        <w:rPr>
          <w:rFonts w:ascii="Verdana" w:hAnsi="Verdana"/>
        </w:rPr>
        <w:t>Оплата послуг консультанта відбувається після надання консультантом звіту про надані послуги відповідно до очікуваних результатів та його погодження зі сторони EUACI. Координувати роботу консультанта буде радниця міського голови.</w:t>
      </w:r>
    </w:p>
    <w:p w:rsidR="007D6289" w:rsidRDefault="007D6289" w:rsidP="007D6289">
      <w:pPr>
        <w:pStyle w:val="Heading1"/>
        <w:numPr>
          <w:ilvl w:val="1"/>
          <w:numId w:val="8"/>
        </w:numPr>
        <w:tabs>
          <w:tab w:val="left" w:pos="820"/>
        </w:tabs>
        <w:ind w:left="0"/>
        <w:jc w:val="both"/>
        <w:rPr>
          <w:rFonts w:ascii="Verdana" w:hAnsi="Verdana"/>
        </w:rPr>
      </w:pPr>
      <w:r>
        <w:rPr>
          <w:rFonts w:ascii="Verdana" w:hAnsi="Verdana"/>
        </w:rPr>
        <w:t>Відбір консультанта:</w:t>
      </w:r>
    </w:p>
    <w:p w:rsidR="007D6289" w:rsidRDefault="007D6289" w:rsidP="007D6289">
      <w:pPr>
        <w:pStyle w:val="BodyText"/>
        <w:ind w:left="0"/>
        <w:jc w:val="both"/>
        <w:rPr>
          <w:rFonts w:ascii="Verdana" w:hAnsi="Verdana"/>
        </w:rPr>
      </w:pPr>
      <w:r>
        <w:rPr>
          <w:rFonts w:ascii="Verdana" w:hAnsi="Verdana"/>
        </w:rPr>
        <w:t xml:space="preserve">Переможець буде обиратися шляхом оцінки найкращої фінансової пропозиції, що відповідає кваліфікаційним вимогам до консультанта. Учасники закупівлі подають </w:t>
      </w:r>
      <w:r>
        <w:rPr>
          <w:rFonts w:ascii="Verdana" w:hAnsi="Verdana"/>
          <w:b/>
        </w:rPr>
        <w:t>до 22 грудня 2022 включно</w:t>
      </w:r>
      <w:r>
        <w:rPr>
          <w:rFonts w:ascii="Verdana" w:hAnsi="Verdana"/>
        </w:rPr>
        <w:t>, пропозицію у форматі детального резюме та фінансової пропозиції, яка не перевищує 4 150 євро, на електронну адресу:</w:t>
      </w:r>
      <w:r>
        <w:rPr>
          <w:rFonts w:ascii="Verdana" w:hAnsi="Verdana"/>
          <w:color w:val="1154CC"/>
        </w:rPr>
        <w:t xml:space="preserve"> </w:t>
      </w:r>
      <w:hyperlink r:id="rId7" w:history="1">
        <w:r>
          <w:rPr>
            <w:rStyle w:val="Hyperlink"/>
            <w:rFonts w:ascii="Verdana" w:hAnsi="Verdana"/>
            <w:color w:val="1154CC"/>
            <w:u w:val="none" w:color="1154CC"/>
          </w:rPr>
          <w:t>dmynai@um.dk</w:t>
        </w:r>
      </w:hyperlink>
      <w:r>
        <w:rPr>
          <w:rFonts w:ascii="Verdana" w:hAnsi="Verdana"/>
        </w:rPr>
        <w:t>.</w:t>
      </w:r>
    </w:p>
    <w:p w:rsidR="007618D0" w:rsidRPr="007D6289" w:rsidRDefault="007618D0" w:rsidP="007D6289"/>
    <w:sectPr w:rsidR="007618D0" w:rsidRPr="007D6289" w:rsidSect="007516C3">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9F6" w:rsidRDefault="002E69F6" w:rsidP="007516C3">
      <w:r>
        <w:separator/>
      </w:r>
    </w:p>
  </w:endnote>
  <w:endnote w:type="continuationSeparator" w:id="0">
    <w:p w:rsidR="002E69F6" w:rsidRDefault="002E69F6" w:rsidP="0075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C3" w:rsidRDefault="007516C3">
    <w:pPr>
      <w:pStyle w:val="Footer"/>
    </w:pPr>
  </w:p>
  <w:p w:rsidR="007516C3" w:rsidRDefault="007516C3">
    <w:pPr>
      <w:pStyle w:val="Footer"/>
    </w:pPr>
    <w:r>
      <w:rPr>
        <w:noProof/>
      </w:rPr>
      <w:drawing>
        <wp:inline distT="0" distB="0" distL="0" distR="0">
          <wp:extent cx="2476500" cy="85378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173" cy="873666"/>
                  </a:xfrm>
                  <a:prstGeom prst="rect">
                    <a:avLst/>
                  </a:prstGeom>
                  <a:noFill/>
                  <a:ln>
                    <a:noFill/>
                  </a:ln>
                </pic:spPr>
              </pic:pic>
            </a:graphicData>
          </a:graphic>
        </wp:inline>
      </w:drawing>
    </w:r>
  </w:p>
  <w:p w:rsidR="007516C3" w:rsidRDefault="0075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9F6" w:rsidRDefault="002E69F6" w:rsidP="007516C3">
      <w:r>
        <w:separator/>
      </w:r>
    </w:p>
  </w:footnote>
  <w:footnote w:type="continuationSeparator" w:id="0">
    <w:p w:rsidR="002E69F6" w:rsidRDefault="002E69F6" w:rsidP="0075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6C3" w:rsidRDefault="007516C3">
    <w:pPr>
      <w:pStyle w:val="Header"/>
    </w:pPr>
    <w:r>
      <w:rPr>
        <w:rFonts w:ascii="Verdana" w:eastAsia="Arial" w:hAnsi="Verdana" w:cs="Arial"/>
        <w:b/>
        <w:bCs/>
        <w:noProof/>
        <w:lang w:val="en-US"/>
      </w:rPr>
      <w:drawing>
        <wp:inline distT="0" distB="0" distL="0" distR="0" wp14:anchorId="3918CCD0" wp14:editId="07761C16">
          <wp:extent cx="2813050" cy="754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6509" cy="760878"/>
                  </a:xfrm>
                  <a:prstGeom prst="rect">
                    <a:avLst/>
                  </a:prstGeom>
                  <a:noFill/>
                  <a:ln>
                    <a:noFill/>
                  </a:ln>
                </pic:spPr>
              </pic:pic>
            </a:graphicData>
          </a:graphic>
        </wp:inline>
      </w:drawing>
    </w:r>
  </w:p>
  <w:p w:rsidR="007516C3" w:rsidRDefault="0075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B83"/>
    <w:multiLevelType w:val="hybridMultilevel"/>
    <w:tmpl w:val="7CAAF51C"/>
    <w:lvl w:ilvl="0" w:tplc="F9F6E974">
      <w:numFmt w:val="bullet"/>
      <w:lvlText w:val="-"/>
      <w:lvlJc w:val="left"/>
      <w:pPr>
        <w:ind w:left="220" w:hanging="162"/>
      </w:pPr>
      <w:rPr>
        <w:rFonts w:ascii="Arial MT" w:eastAsia="Arial MT" w:hAnsi="Arial MT" w:cs="Arial MT" w:hint="default"/>
        <w:w w:val="100"/>
        <w:sz w:val="24"/>
        <w:szCs w:val="24"/>
        <w:lang w:val="uk-UA" w:eastAsia="en-US" w:bidi="ar-SA"/>
      </w:rPr>
    </w:lvl>
    <w:lvl w:ilvl="1" w:tplc="B9C8A190">
      <w:numFmt w:val="bullet"/>
      <w:lvlText w:val="•"/>
      <w:lvlJc w:val="left"/>
      <w:pPr>
        <w:ind w:left="1212" w:hanging="162"/>
      </w:pPr>
      <w:rPr>
        <w:rFonts w:hint="default"/>
        <w:lang w:val="uk-UA" w:eastAsia="en-US" w:bidi="ar-SA"/>
      </w:rPr>
    </w:lvl>
    <w:lvl w:ilvl="2" w:tplc="9E36F1F4">
      <w:numFmt w:val="bullet"/>
      <w:lvlText w:val="•"/>
      <w:lvlJc w:val="left"/>
      <w:pPr>
        <w:ind w:left="2204" w:hanging="162"/>
      </w:pPr>
      <w:rPr>
        <w:rFonts w:hint="default"/>
        <w:lang w:val="uk-UA" w:eastAsia="en-US" w:bidi="ar-SA"/>
      </w:rPr>
    </w:lvl>
    <w:lvl w:ilvl="3" w:tplc="C91A68F8">
      <w:numFmt w:val="bullet"/>
      <w:lvlText w:val="•"/>
      <w:lvlJc w:val="left"/>
      <w:pPr>
        <w:ind w:left="3196" w:hanging="162"/>
      </w:pPr>
      <w:rPr>
        <w:rFonts w:hint="default"/>
        <w:lang w:val="uk-UA" w:eastAsia="en-US" w:bidi="ar-SA"/>
      </w:rPr>
    </w:lvl>
    <w:lvl w:ilvl="4" w:tplc="719CEF50">
      <w:numFmt w:val="bullet"/>
      <w:lvlText w:val="•"/>
      <w:lvlJc w:val="left"/>
      <w:pPr>
        <w:ind w:left="4188" w:hanging="162"/>
      </w:pPr>
      <w:rPr>
        <w:rFonts w:hint="default"/>
        <w:lang w:val="uk-UA" w:eastAsia="en-US" w:bidi="ar-SA"/>
      </w:rPr>
    </w:lvl>
    <w:lvl w:ilvl="5" w:tplc="6E88F652">
      <w:numFmt w:val="bullet"/>
      <w:lvlText w:val="•"/>
      <w:lvlJc w:val="left"/>
      <w:pPr>
        <w:ind w:left="5180" w:hanging="162"/>
      </w:pPr>
      <w:rPr>
        <w:rFonts w:hint="default"/>
        <w:lang w:val="uk-UA" w:eastAsia="en-US" w:bidi="ar-SA"/>
      </w:rPr>
    </w:lvl>
    <w:lvl w:ilvl="6" w:tplc="2F1A4814">
      <w:numFmt w:val="bullet"/>
      <w:lvlText w:val="•"/>
      <w:lvlJc w:val="left"/>
      <w:pPr>
        <w:ind w:left="6172" w:hanging="162"/>
      </w:pPr>
      <w:rPr>
        <w:rFonts w:hint="default"/>
        <w:lang w:val="uk-UA" w:eastAsia="en-US" w:bidi="ar-SA"/>
      </w:rPr>
    </w:lvl>
    <w:lvl w:ilvl="7" w:tplc="7F54530C">
      <w:numFmt w:val="bullet"/>
      <w:lvlText w:val="•"/>
      <w:lvlJc w:val="left"/>
      <w:pPr>
        <w:ind w:left="7164" w:hanging="162"/>
      </w:pPr>
      <w:rPr>
        <w:rFonts w:hint="default"/>
        <w:lang w:val="uk-UA" w:eastAsia="en-US" w:bidi="ar-SA"/>
      </w:rPr>
    </w:lvl>
    <w:lvl w:ilvl="8" w:tplc="7DCEB568">
      <w:numFmt w:val="bullet"/>
      <w:lvlText w:val="•"/>
      <w:lvlJc w:val="left"/>
      <w:pPr>
        <w:ind w:left="8156" w:hanging="162"/>
      </w:pPr>
      <w:rPr>
        <w:rFonts w:hint="default"/>
        <w:lang w:val="uk-UA" w:eastAsia="en-US" w:bidi="ar-SA"/>
      </w:rPr>
    </w:lvl>
  </w:abstractNum>
  <w:abstractNum w:abstractNumId="1" w15:restartNumberingAfterBreak="0">
    <w:nsid w:val="12823144"/>
    <w:multiLevelType w:val="hybridMultilevel"/>
    <w:tmpl w:val="5FF0E71E"/>
    <w:lvl w:ilvl="0" w:tplc="E6223C58">
      <w:start w:val="4"/>
      <w:numFmt w:val="decimal"/>
      <w:lvlText w:val="%1."/>
      <w:lvlJc w:val="left"/>
      <w:pPr>
        <w:ind w:left="490" w:hanging="270"/>
        <w:jc w:val="left"/>
      </w:pPr>
      <w:rPr>
        <w:rFonts w:ascii="Arial" w:eastAsia="Arial" w:hAnsi="Arial" w:cs="Arial" w:hint="default"/>
        <w:b/>
        <w:bCs/>
        <w:w w:val="100"/>
        <w:sz w:val="24"/>
        <w:szCs w:val="24"/>
        <w:lang w:val="uk-UA" w:eastAsia="en-US" w:bidi="ar-SA"/>
      </w:rPr>
    </w:lvl>
    <w:lvl w:ilvl="1" w:tplc="843686AA">
      <w:numFmt w:val="bullet"/>
      <w:lvlText w:val="●"/>
      <w:lvlJc w:val="left"/>
      <w:pPr>
        <w:ind w:left="940" w:hanging="360"/>
      </w:pPr>
      <w:rPr>
        <w:rFonts w:ascii="Arial MT" w:eastAsia="Arial MT" w:hAnsi="Arial MT" w:cs="Arial MT" w:hint="default"/>
        <w:w w:val="60"/>
        <w:sz w:val="24"/>
        <w:szCs w:val="24"/>
        <w:lang w:val="uk-UA" w:eastAsia="en-US" w:bidi="ar-SA"/>
      </w:rPr>
    </w:lvl>
    <w:lvl w:ilvl="2" w:tplc="CCDEFCEC">
      <w:numFmt w:val="bullet"/>
      <w:lvlText w:val="•"/>
      <w:lvlJc w:val="left"/>
      <w:pPr>
        <w:ind w:left="1962" w:hanging="360"/>
      </w:pPr>
      <w:rPr>
        <w:rFonts w:hint="default"/>
        <w:lang w:val="uk-UA" w:eastAsia="en-US" w:bidi="ar-SA"/>
      </w:rPr>
    </w:lvl>
    <w:lvl w:ilvl="3" w:tplc="B15A7E30">
      <w:numFmt w:val="bullet"/>
      <w:lvlText w:val="•"/>
      <w:lvlJc w:val="left"/>
      <w:pPr>
        <w:ind w:left="2984" w:hanging="360"/>
      </w:pPr>
      <w:rPr>
        <w:rFonts w:hint="default"/>
        <w:lang w:val="uk-UA" w:eastAsia="en-US" w:bidi="ar-SA"/>
      </w:rPr>
    </w:lvl>
    <w:lvl w:ilvl="4" w:tplc="977C1F26">
      <w:numFmt w:val="bullet"/>
      <w:lvlText w:val="•"/>
      <w:lvlJc w:val="left"/>
      <w:pPr>
        <w:ind w:left="4006" w:hanging="360"/>
      </w:pPr>
      <w:rPr>
        <w:rFonts w:hint="default"/>
        <w:lang w:val="uk-UA" w:eastAsia="en-US" w:bidi="ar-SA"/>
      </w:rPr>
    </w:lvl>
    <w:lvl w:ilvl="5" w:tplc="67C4625E">
      <w:numFmt w:val="bullet"/>
      <w:lvlText w:val="•"/>
      <w:lvlJc w:val="left"/>
      <w:pPr>
        <w:ind w:left="5028" w:hanging="360"/>
      </w:pPr>
      <w:rPr>
        <w:rFonts w:hint="default"/>
        <w:lang w:val="uk-UA" w:eastAsia="en-US" w:bidi="ar-SA"/>
      </w:rPr>
    </w:lvl>
    <w:lvl w:ilvl="6" w:tplc="21F63CB0">
      <w:numFmt w:val="bullet"/>
      <w:lvlText w:val="•"/>
      <w:lvlJc w:val="left"/>
      <w:pPr>
        <w:ind w:left="6051" w:hanging="360"/>
      </w:pPr>
      <w:rPr>
        <w:rFonts w:hint="default"/>
        <w:lang w:val="uk-UA" w:eastAsia="en-US" w:bidi="ar-SA"/>
      </w:rPr>
    </w:lvl>
    <w:lvl w:ilvl="7" w:tplc="8564F170">
      <w:numFmt w:val="bullet"/>
      <w:lvlText w:val="•"/>
      <w:lvlJc w:val="left"/>
      <w:pPr>
        <w:ind w:left="7073" w:hanging="360"/>
      </w:pPr>
      <w:rPr>
        <w:rFonts w:hint="default"/>
        <w:lang w:val="uk-UA" w:eastAsia="en-US" w:bidi="ar-SA"/>
      </w:rPr>
    </w:lvl>
    <w:lvl w:ilvl="8" w:tplc="F5FC4620">
      <w:numFmt w:val="bullet"/>
      <w:lvlText w:val="•"/>
      <w:lvlJc w:val="left"/>
      <w:pPr>
        <w:ind w:left="8095" w:hanging="360"/>
      </w:pPr>
      <w:rPr>
        <w:rFonts w:hint="default"/>
        <w:lang w:val="uk-UA" w:eastAsia="en-US" w:bidi="ar-SA"/>
      </w:rPr>
    </w:lvl>
  </w:abstractNum>
  <w:abstractNum w:abstractNumId="2" w15:restartNumberingAfterBreak="0">
    <w:nsid w:val="35DE446A"/>
    <w:multiLevelType w:val="hybridMultilevel"/>
    <w:tmpl w:val="99223992"/>
    <w:lvl w:ilvl="0" w:tplc="E0C47BBE">
      <w:numFmt w:val="bullet"/>
      <w:lvlText w:val="-"/>
      <w:lvlJc w:val="left"/>
      <w:pPr>
        <w:ind w:left="820" w:hanging="360"/>
      </w:pPr>
      <w:rPr>
        <w:rFonts w:ascii="Arial MT" w:eastAsia="Arial MT" w:hAnsi="Arial MT" w:cs="Arial MT" w:hint="default"/>
        <w:w w:val="100"/>
        <w:sz w:val="24"/>
        <w:szCs w:val="24"/>
        <w:lang w:val="uk-UA" w:eastAsia="en-US" w:bidi="ar-SA"/>
      </w:rPr>
    </w:lvl>
    <w:lvl w:ilvl="1" w:tplc="9E4092B8">
      <w:numFmt w:val="bullet"/>
      <w:lvlText w:val="•"/>
      <w:lvlJc w:val="left"/>
      <w:pPr>
        <w:ind w:left="1752" w:hanging="360"/>
      </w:pPr>
      <w:rPr>
        <w:rFonts w:hint="default"/>
        <w:lang w:val="uk-UA" w:eastAsia="en-US" w:bidi="ar-SA"/>
      </w:rPr>
    </w:lvl>
    <w:lvl w:ilvl="2" w:tplc="1F80E444">
      <w:numFmt w:val="bullet"/>
      <w:lvlText w:val="•"/>
      <w:lvlJc w:val="left"/>
      <w:pPr>
        <w:ind w:left="2684" w:hanging="360"/>
      </w:pPr>
      <w:rPr>
        <w:rFonts w:hint="default"/>
        <w:lang w:val="uk-UA" w:eastAsia="en-US" w:bidi="ar-SA"/>
      </w:rPr>
    </w:lvl>
    <w:lvl w:ilvl="3" w:tplc="AB92B0B0">
      <w:numFmt w:val="bullet"/>
      <w:lvlText w:val="•"/>
      <w:lvlJc w:val="left"/>
      <w:pPr>
        <w:ind w:left="3616" w:hanging="360"/>
      </w:pPr>
      <w:rPr>
        <w:rFonts w:hint="default"/>
        <w:lang w:val="uk-UA" w:eastAsia="en-US" w:bidi="ar-SA"/>
      </w:rPr>
    </w:lvl>
    <w:lvl w:ilvl="4" w:tplc="C678A22C">
      <w:numFmt w:val="bullet"/>
      <w:lvlText w:val="•"/>
      <w:lvlJc w:val="left"/>
      <w:pPr>
        <w:ind w:left="4548" w:hanging="360"/>
      </w:pPr>
      <w:rPr>
        <w:rFonts w:hint="default"/>
        <w:lang w:val="uk-UA" w:eastAsia="en-US" w:bidi="ar-SA"/>
      </w:rPr>
    </w:lvl>
    <w:lvl w:ilvl="5" w:tplc="1CA413D6">
      <w:numFmt w:val="bullet"/>
      <w:lvlText w:val="•"/>
      <w:lvlJc w:val="left"/>
      <w:pPr>
        <w:ind w:left="5480" w:hanging="360"/>
      </w:pPr>
      <w:rPr>
        <w:rFonts w:hint="default"/>
        <w:lang w:val="uk-UA" w:eastAsia="en-US" w:bidi="ar-SA"/>
      </w:rPr>
    </w:lvl>
    <w:lvl w:ilvl="6" w:tplc="636A6318">
      <w:numFmt w:val="bullet"/>
      <w:lvlText w:val="•"/>
      <w:lvlJc w:val="left"/>
      <w:pPr>
        <w:ind w:left="6412" w:hanging="360"/>
      </w:pPr>
      <w:rPr>
        <w:rFonts w:hint="default"/>
        <w:lang w:val="uk-UA" w:eastAsia="en-US" w:bidi="ar-SA"/>
      </w:rPr>
    </w:lvl>
    <w:lvl w:ilvl="7" w:tplc="1D129168">
      <w:numFmt w:val="bullet"/>
      <w:lvlText w:val="•"/>
      <w:lvlJc w:val="left"/>
      <w:pPr>
        <w:ind w:left="7344" w:hanging="360"/>
      </w:pPr>
      <w:rPr>
        <w:rFonts w:hint="default"/>
        <w:lang w:val="uk-UA" w:eastAsia="en-US" w:bidi="ar-SA"/>
      </w:rPr>
    </w:lvl>
    <w:lvl w:ilvl="8" w:tplc="E1041C44">
      <w:numFmt w:val="bullet"/>
      <w:lvlText w:val="•"/>
      <w:lvlJc w:val="left"/>
      <w:pPr>
        <w:ind w:left="8276" w:hanging="360"/>
      </w:pPr>
      <w:rPr>
        <w:rFonts w:hint="default"/>
        <w:lang w:val="uk-UA" w:eastAsia="en-US" w:bidi="ar-SA"/>
      </w:rPr>
    </w:lvl>
  </w:abstractNum>
  <w:abstractNum w:abstractNumId="3" w15:restartNumberingAfterBreak="0">
    <w:nsid w:val="4E596490"/>
    <w:multiLevelType w:val="multilevel"/>
    <w:tmpl w:val="3A7E4338"/>
    <w:lvl w:ilvl="0">
      <w:start w:val="1"/>
      <w:numFmt w:val="decimal"/>
      <w:lvlText w:val="%1."/>
      <w:lvlJc w:val="left"/>
      <w:pPr>
        <w:ind w:left="100" w:hanging="357"/>
        <w:jc w:val="left"/>
      </w:pPr>
      <w:rPr>
        <w:rFonts w:ascii="Arial MT" w:eastAsia="Arial MT" w:hAnsi="Arial MT" w:cs="Arial MT" w:hint="default"/>
        <w:w w:val="100"/>
        <w:sz w:val="24"/>
        <w:szCs w:val="24"/>
        <w:lang w:val="uk-UA" w:eastAsia="en-US" w:bidi="ar-SA"/>
      </w:rPr>
    </w:lvl>
    <w:lvl w:ilvl="1">
      <w:start w:val="1"/>
      <w:numFmt w:val="decimal"/>
      <w:lvlText w:val="%1.%2"/>
      <w:lvlJc w:val="left"/>
      <w:pPr>
        <w:ind w:left="100" w:hanging="476"/>
        <w:jc w:val="left"/>
      </w:pPr>
      <w:rPr>
        <w:rFonts w:ascii="Arial MT" w:eastAsia="Arial MT" w:hAnsi="Arial MT" w:cs="Arial MT" w:hint="default"/>
        <w:w w:val="100"/>
        <w:sz w:val="24"/>
        <w:szCs w:val="24"/>
        <w:lang w:val="uk-UA" w:eastAsia="en-US" w:bidi="ar-SA"/>
      </w:rPr>
    </w:lvl>
    <w:lvl w:ilvl="2">
      <w:numFmt w:val="bullet"/>
      <w:lvlText w:val="•"/>
      <w:lvlJc w:val="left"/>
      <w:pPr>
        <w:ind w:left="2108" w:hanging="476"/>
      </w:pPr>
      <w:rPr>
        <w:rFonts w:hint="default"/>
        <w:lang w:val="uk-UA" w:eastAsia="en-US" w:bidi="ar-SA"/>
      </w:rPr>
    </w:lvl>
    <w:lvl w:ilvl="3">
      <w:numFmt w:val="bullet"/>
      <w:lvlText w:val="•"/>
      <w:lvlJc w:val="left"/>
      <w:pPr>
        <w:ind w:left="3112" w:hanging="476"/>
      </w:pPr>
      <w:rPr>
        <w:rFonts w:hint="default"/>
        <w:lang w:val="uk-UA" w:eastAsia="en-US" w:bidi="ar-SA"/>
      </w:rPr>
    </w:lvl>
    <w:lvl w:ilvl="4">
      <w:numFmt w:val="bullet"/>
      <w:lvlText w:val="•"/>
      <w:lvlJc w:val="left"/>
      <w:pPr>
        <w:ind w:left="4116" w:hanging="476"/>
      </w:pPr>
      <w:rPr>
        <w:rFonts w:hint="default"/>
        <w:lang w:val="uk-UA" w:eastAsia="en-US" w:bidi="ar-SA"/>
      </w:rPr>
    </w:lvl>
    <w:lvl w:ilvl="5">
      <w:numFmt w:val="bullet"/>
      <w:lvlText w:val="•"/>
      <w:lvlJc w:val="left"/>
      <w:pPr>
        <w:ind w:left="5120" w:hanging="476"/>
      </w:pPr>
      <w:rPr>
        <w:rFonts w:hint="default"/>
        <w:lang w:val="uk-UA" w:eastAsia="en-US" w:bidi="ar-SA"/>
      </w:rPr>
    </w:lvl>
    <w:lvl w:ilvl="6">
      <w:numFmt w:val="bullet"/>
      <w:lvlText w:val="•"/>
      <w:lvlJc w:val="left"/>
      <w:pPr>
        <w:ind w:left="6124" w:hanging="476"/>
      </w:pPr>
      <w:rPr>
        <w:rFonts w:hint="default"/>
        <w:lang w:val="uk-UA" w:eastAsia="en-US" w:bidi="ar-SA"/>
      </w:rPr>
    </w:lvl>
    <w:lvl w:ilvl="7">
      <w:numFmt w:val="bullet"/>
      <w:lvlText w:val="•"/>
      <w:lvlJc w:val="left"/>
      <w:pPr>
        <w:ind w:left="7128" w:hanging="476"/>
      </w:pPr>
      <w:rPr>
        <w:rFonts w:hint="default"/>
        <w:lang w:val="uk-UA" w:eastAsia="en-US" w:bidi="ar-SA"/>
      </w:rPr>
    </w:lvl>
    <w:lvl w:ilvl="8">
      <w:numFmt w:val="bullet"/>
      <w:lvlText w:val="•"/>
      <w:lvlJc w:val="left"/>
      <w:pPr>
        <w:ind w:left="8132" w:hanging="476"/>
      </w:pPr>
      <w:rPr>
        <w:rFonts w:hint="default"/>
        <w:lang w:val="uk-UA" w:eastAsia="en-US" w:bidi="ar-SA"/>
      </w:rPr>
    </w:lvl>
  </w:abstractNum>
  <w:abstractNum w:abstractNumId="4" w15:restartNumberingAfterBreak="0">
    <w:nsid w:val="5144704B"/>
    <w:multiLevelType w:val="hybridMultilevel"/>
    <w:tmpl w:val="62AA9B92"/>
    <w:lvl w:ilvl="0" w:tplc="CB5C16D0">
      <w:numFmt w:val="bullet"/>
      <w:lvlText w:val="●"/>
      <w:lvlJc w:val="left"/>
      <w:pPr>
        <w:ind w:left="940" w:hanging="360"/>
      </w:pPr>
      <w:rPr>
        <w:rFonts w:ascii="Arial MT" w:eastAsia="Arial MT" w:hAnsi="Arial MT" w:cs="Arial MT" w:hint="default"/>
        <w:w w:val="60"/>
        <w:sz w:val="24"/>
        <w:szCs w:val="24"/>
        <w:lang w:val="uk-UA" w:eastAsia="en-US" w:bidi="ar-SA"/>
      </w:rPr>
    </w:lvl>
    <w:lvl w:ilvl="1" w:tplc="735402A8">
      <w:numFmt w:val="bullet"/>
      <w:lvlText w:val="•"/>
      <w:lvlJc w:val="left"/>
      <w:pPr>
        <w:ind w:left="1860" w:hanging="360"/>
      </w:pPr>
      <w:rPr>
        <w:rFonts w:hint="default"/>
        <w:lang w:val="uk-UA" w:eastAsia="en-US" w:bidi="ar-SA"/>
      </w:rPr>
    </w:lvl>
    <w:lvl w:ilvl="2" w:tplc="29642BD0">
      <w:numFmt w:val="bullet"/>
      <w:lvlText w:val="•"/>
      <w:lvlJc w:val="left"/>
      <w:pPr>
        <w:ind w:left="2780" w:hanging="360"/>
      </w:pPr>
      <w:rPr>
        <w:rFonts w:hint="default"/>
        <w:lang w:val="uk-UA" w:eastAsia="en-US" w:bidi="ar-SA"/>
      </w:rPr>
    </w:lvl>
    <w:lvl w:ilvl="3" w:tplc="0F72E14C">
      <w:numFmt w:val="bullet"/>
      <w:lvlText w:val="•"/>
      <w:lvlJc w:val="left"/>
      <w:pPr>
        <w:ind w:left="3700" w:hanging="360"/>
      </w:pPr>
      <w:rPr>
        <w:rFonts w:hint="default"/>
        <w:lang w:val="uk-UA" w:eastAsia="en-US" w:bidi="ar-SA"/>
      </w:rPr>
    </w:lvl>
    <w:lvl w:ilvl="4" w:tplc="C4C667FA">
      <w:numFmt w:val="bullet"/>
      <w:lvlText w:val="•"/>
      <w:lvlJc w:val="left"/>
      <w:pPr>
        <w:ind w:left="4620" w:hanging="360"/>
      </w:pPr>
      <w:rPr>
        <w:rFonts w:hint="default"/>
        <w:lang w:val="uk-UA" w:eastAsia="en-US" w:bidi="ar-SA"/>
      </w:rPr>
    </w:lvl>
    <w:lvl w:ilvl="5" w:tplc="822C5566">
      <w:numFmt w:val="bullet"/>
      <w:lvlText w:val="•"/>
      <w:lvlJc w:val="left"/>
      <w:pPr>
        <w:ind w:left="5540" w:hanging="360"/>
      </w:pPr>
      <w:rPr>
        <w:rFonts w:hint="default"/>
        <w:lang w:val="uk-UA" w:eastAsia="en-US" w:bidi="ar-SA"/>
      </w:rPr>
    </w:lvl>
    <w:lvl w:ilvl="6" w:tplc="96CCB436">
      <w:numFmt w:val="bullet"/>
      <w:lvlText w:val="•"/>
      <w:lvlJc w:val="left"/>
      <w:pPr>
        <w:ind w:left="6460" w:hanging="360"/>
      </w:pPr>
      <w:rPr>
        <w:rFonts w:hint="default"/>
        <w:lang w:val="uk-UA" w:eastAsia="en-US" w:bidi="ar-SA"/>
      </w:rPr>
    </w:lvl>
    <w:lvl w:ilvl="7" w:tplc="307454CA">
      <w:numFmt w:val="bullet"/>
      <w:lvlText w:val="•"/>
      <w:lvlJc w:val="left"/>
      <w:pPr>
        <w:ind w:left="7380" w:hanging="360"/>
      </w:pPr>
      <w:rPr>
        <w:rFonts w:hint="default"/>
        <w:lang w:val="uk-UA" w:eastAsia="en-US" w:bidi="ar-SA"/>
      </w:rPr>
    </w:lvl>
    <w:lvl w:ilvl="8" w:tplc="32DEFD56">
      <w:numFmt w:val="bullet"/>
      <w:lvlText w:val="•"/>
      <w:lvlJc w:val="left"/>
      <w:pPr>
        <w:ind w:left="8300" w:hanging="360"/>
      </w:pPr>
      <w:rPr>
        <w:rFonts w:hint="default"/>
        <w:lang w:val="uk-UA" w:eastAsia="en-US" w:bidi="ar-SA"/>
      </w:rPr>
    </w:lvl>
  </w:abstractNum>
  <w:abstractNum w:abstractNumId="5" w15:restartNumberingAfterBreak="0">
    <w:nsid w:val="64C4729F"/>
    <w:multiLevelType w:val="multilevel"/>
    <w:tmpl w:val="1AACB60C"/>
    <w:lvl w:ilvl="0">
      <w:start w:val="1"/>
      <w:numFmt w:val="decimal"/>
      <w:lvlText w:val="%1."/>
      <w:lvlJc w:val="left"/>
      <w:pPr>
        <w:ind w:left="490" w:hanging="270"/>
        <w:jc w:val="left"/>
      </w:pPr>
      <w:rPr>
        <w:rFonts w:ascii="Arial" w:eastAsia="Arial" w:hAnsi="Arial" w:cs="Arial" w:hint="default"/>
        <w:b/>
        <w:bCs/>
        <w:w w:val="100"/>
        <w:sz w:val="24"/>
        <w:szCs w:val="24"/>
        <w:lang w:val="uk-UA" w:eastAsia="en-US" w:bidi="ar-SA"/>
      </w:rPr>
    </w:lvl>
    <w:lvl w:ilvl="1">
      <w:start w:val="1"/>
      <w:numFmt w:val="decimal"/>
      <w:lvlText w:val="%2."/>
      <w:lvlJc w:val="left"/>
      <w:pPr>
        <w:ind w:left="820" w:hanging="360"/>
        <w:jc w:val="left"/>
      </w:pPr>
      <w:rPr>
        <w:rFonts w:hint="default"/>
        <w:w w:val="100"/>
        <w:lang w:val="uk-UA" w:eastAsia="en-US" w:bidi="ar-SA"/>
      </w:rPr>
    </w:lvl>
    <w:lvl w:ilvl="2">
      <w:start w:val="1"/>
      <w:numFmt w:val="decimal"/>
      <w:lvlText w:val="%2.%3"/>
      <w:lvlJc w:val="left"/>
      <w:pPr>
        <w:ind w:left="820" w:hanging="360"/>
        <w:jc w:val="left"/>
      </w:pPr>
      <w:rPr>
        <w:rFonts w:ascii="Arial MT" w:eastAsia="Arial MT" w:hAnsi="Arial MT" w:cs="Arial MT" w:hint="default"/>
        <w:w w:val="100"/>
        <w:sz w:val="24"/>
        <w:szCs w:val="24"/>
        <w:lang w:val="uk-UA" w:eastAsia="en-US" w:bidi="ar-SA"/>
      </w:rPr>
    </w:lvl>
    <w:lvl w:ilvl="3">
      <w:numFmt w:val="bullet"/>
      <w:lvlText w:val="•"/>
      <w:lvlJc w:val="left"/>
      <w:pPr>
        <w:ind w:left="2891" w:hanging="360"/>
      </w:pPr>
      <w:rPr>
        <w:rFonts w:hint="default"/>
        <w:lang w:val="uk-UA" w:eastAsia="en-US" w:bidi="ar-SA"/>
      </w:rPr>
    </w:lvl>
    <w:lvl w:ilvl="4">
      <w:numFmt w:val="bullet"/>
      <w:lvlText w:val="•"/>
      <w:lvlJc w:val="left"/>
      <w:pPr>
        <w:ind w:left="3926" w:hanging="360"/>
      </w:pPr>
      <w:rPr>
        <w:rFonts w:hint="default"/>
        <w:lang w:val="uk-UA" w:eastAsia="en-US" w:bidi="ar-SA"/>
      </w:rPr>
    </w:lvl>
    <w:lvl w:ilvl="5">
      <w:numFmt w:val="bullet"/>
      <w:lvlText w:val="•"/>
      <w:lvlJc w:val="left"/>
      <w:pPr>
        <w:ind w:left="4962" w:hanging="360"/>
      </w:pPr>
      <w:rPr>
        <w:rFonts w:hint="default"/>
        <w:lang w:val="uk-UA" w:eastAsia="en-US" w:bidi="ar-SA"/>
      </w:rPr>
    </w:lvl>
    <w:lvl w:ilvl="6">
      <w:numFmt w:val="bullet"/>
      <w:lvlText w:val="•"/>
      <w:lvlJc w:val="left"/>
      <w:pPr>
        <w:ind w:left="5997" w:hanging="360"/>
      </w:pPr>
      <w:rPr>
        <w:rFonts w:hint="default"/>
        <w:lang w:val="uk-UA" w:eastAsia="en-US" w:bidi="ar-SA"/>
      </w:rPr>
    </w:lvl>
    <w:lvl w:ilvl="7">
      <w:numFmt w:val="bullet"/>
      <w:lvlText w:val="•"/>
      <w:lvlJc w:val="left"/>
      <w:pPr>
        <w:ind w:left="7033" w:hanging="360"/>
      </w:pPr>
      <w:rPr>
        <w:rFonts w:hint="default"/>
        <w:lang w:val="uk-UA" w:eastAsia="en-US" w:bidi="ar-SA"/>
      </w:rPr>
    </w:lvl>
    <w:lvl w:ilvl="8">
      <w:numFmt w:val="bullet"/>
      <w:lvlText w:val="•"/>
      <w:lvlJc w:val="left"/>
      <w:pPr>
        <w:ind w:left="8068" w:hanging="360"/>
      </w:pPr>
      <w:rPr>
        <w:rFonts w:hint="default"/>
        <w:lang w:val="uk-UA" w:eastAsia="en-US" w:bidi="ar-SA"/>
      </w:rPr>
    </w:lvl>
  </w:abstractNum>
  <w:abstractNum w:abstractNumId="6" w15:restartNumberingAfterBreak="0">
    <w:nsid w:val="68C1759B"/>
    <w:multiLevelType w:val="hybridMultilevel"/>
    <w:tmpl w:val="3BD2739A"/>
    <w:lvl w:ilvl="0" w:tplc="36D01EBA">
      <w:start w:val="2"/>
      <w:numFmt w:val="decimal"/>
      <w:lvlText w:val="%1."/>
      <w:lvlJc w:val="left"/>
      <w:pPr>
        <w:ind w:left="490" w:hanging="270"/>
        <w:jc w:val="left"/>
      </w:pPr>
      <w:rPr>
        <w:rFonts w:ascii="Arial" w:eastAsia="Arial" w:hAnsi="Arial" w:cs="Arial" w:hint="default"/>
        <w:b/>
        <w:bCs/>
        <w:w w:val="100"/>
        <w:sz w:val="24"/>
        <w:szCs w:val="24"/>
        <w:lang w:val="uk-UA" w:eastAsia="en-US" w:bidi="ar-SA"/>
      </w:rPr>
    </w:lvl>
    <w:lvl w:ilvl="1" w:tplc="4E58049E">
      <w:numFmt w:val="bullet"/>
      <w:lvlText w:val="•"/>
      <w:lvlJc w:val="left"/>
      <w:pPr>
        <w:ind w:left="1464" w:hanging="270"/>
      </w:pPr>
      <w:rPr>
        <w:rFonts w:hint="default"/>
        <w:lang w:val="uk-UA" w:eastAsia="en-US" w:bidi="ar-SA"/>
      </w:rPr>
    </w:lvl>
    <w:lvl w:ilvl="2" w:tplc="9A80A452">
      <w:numFmt w:val="bullet"/>
      <w:lvlText w:val="•"/>
      <w:lvlJc w:val="left"/>
      <w:pPr>
        <w:ind w:left="2428" w:hanging="270"/>
      </w:pPr>
      <w:rPr>
        <w:rFonts w:hint="default"/>
        <w:lang w:val="uk-UA" w:eastAsia="en-US" w:bidi="ar-SA"/>
      </w:rPr>
    </w:lvl>
    <w:lvl w:ilvl="3" w:tplc="5560DC06">
      <w:numFmt w:val="bullet"/>
      <w:lvlText w:val="•"/>
      <w:lvlJc w:val="left"/>
      <w:pPr>
        <w:ind w:left="3392" w:hanging="270"/>
      </w:pPr>
      <w:rPr>
        <w:rFonts w:hint="default"/>
        <w:lang w:val="uk-UA" w:eastAsia="en-US" w:bidi="ar-SA"/>
      </w:rPr>
    </w:lvl>
    <w:lvl w:ilvl="4" w:tplc="842278F4">
      <w:numFmt w:val="bullet"/>
      <w:lvlText w:val="•"/>
      <w:lvlJc w:val="left"/>
      <w:pPr>
        <w:ind w:left="4356" w:hanging="270"/>
      </w:pPr>
      <w:rPr>
        <w:rFonts w:hint="default"/>
        <w:lang w:val="uk-UA" w:eastAsia="en-US" w:bidi="ar-SA"/>
      </w:rPr>
    </w:lvl>
    <w:lvl w:ilvl="5" w:tplc="CCB26606">
      <w:numFmt w:val="bullet"/>
      <w:lvlText w:val="•"/>
      <w:lvlJc w:val="left"/>
      <w:pPr>
        <w:ind w:left="5320" w:hanging="270"/>
      </w:pPr>
      <w:rPr>
        <w:rFonts w:hint="default"/>
        <w:lang w:val="uk-UA" w:eastAsia="en-US" w:bidi="ar-SA"/>
      </w:rPr>
    </w:lvl>
    <w:lvl w:ilvl="6" w:tplc="7786CA72">
      <w:numFmt w:val="bullet"/>
      <w:lvlText w:val="•"/>
      <w:lvlJc w:val="left"/>
      <w:pPr>
        <w:ind w:left="6284" w:hanging="270"/>
      </w:pPr>
      <w:rPr>
        <w:rFonts w:hint="default"/>
        <w:lang w:val="uk-UA" w:eastAsia="en-US" w:bidi="ar-SA"/>
      </w:rPr>
    </w:lvl>
    <w:lvl w:ilvl="7" w:tplc="0F84B4FA">
      <w:numFmt w:val="bullet"/>
      <w:lvlText w:val="•"/>
      <w:lvlJc w:val="left"/>
      <w:pPr>
        <w:ind w:left="7248" w:hanging="270"/>
      </w:pPr>
      <w:rPr>
        <w:rFonts w:hint="default"/>
        <w:lang w:val="uk-UA" w:eastAsia="en-US" w:bidi="ar-SA"/>
      </w:rPr>
    </w:lvl>
    <w:lvl w:ilvl="8" w:tplc="635C3FCA">
      <w:numFmt w:val="bullet"/>
      <w:lvlText w:val="•"/>
      <w:lvlJc w:val="left"/>
      <w:pPr>
        <w:ind w:left="8212" w:hanging="270"/>
      </w:pPr>
      <w:rPr>
        <w:rFonts w:hint="default"/>
        <w:lang w:val="uk-UA" w:eastAsia="en-US" w:bidi="ar-SA"/>
      </w:rPr>
    </w:lvl>
  </w:abstractNum>
  <w:num w:numId="1" w16cid:durableId="1486513432">
    <w:abstractNumId w:val="1"/>
  </w:num>
  <w:num w:numId="2" w16cid:durableId="1343360702">
    <w:abstractNumId w:val="3"/>
  </w:num>
  <w:num w:numId="3" w16cid:durableId="509293568">
    <w:abstractNumId w:val="0"/>
  </w:num>
  <w:num w:numId="4" w16cid:durableId="1180583177">
    <w:abstractNumId w:val="6"/>
  </w:num>
  <w:num w:numId="5" w16cid:durableId="591663114">
    <w:abstractNumId w:val="4"/>
  </w:num>
  <w:num w:numId="6" w16cid:durableId="153179826">
    <w:abstractNumId w:val="2"/>
  </w:num>
  <w:num w:numId="7" w16cid:durableId="200830363">
    <w:abstractNumId w:val="5"/>
  </w:num>
  <w:num w:numId="8" w16cid:durableId="72245864">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16cid:durableId="1044644324">
    <w:abstractNumId w:val="2"/>
    <w:lvlOverride w:ilvl="0"/>
    <w:lvlOverride w:ilvl="1"/>
    <w:lvlOverride w:ilvl="2"/>
    <w:lvlOverride w:ilvl="3"/>
    <w:lvlOverride w:ilvl="4"/>
    <w:lvlOverride w:ilvl="5"/>
    <w:lvlOverride w:ilvl="6"/>
    <w:lvlOverride w:ilvl="7"/>
    <w:lvlOverride w:ilvl="8"/>
  </w:num>
  <w:num w:numId="10" w16cid:durableId="88140752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D0"/>
    <w:rsid w:val="00012336"/>
    <w:rsid w:val="002E69F6"/>
    <w:rsid w:val="00325474"/>
    <w:rsid w:val="007516C3"/>
    <w:rsid w:val="007618D0"/>
    <w:rsid w:val="007D6289"/>
    <w:rsid w:val="00AD6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05931-F871-4841-AC6D-4242F600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uk-UA"/>
    </w:rPr>
  </w:style>
  <w:style w:type="paragraph" w:styleId="Heading1">
    <w:name w:val="heading 1"/>
    <w:basedOn w:val="Normal"/>
    <w:link w:val="Heading1Char"/>
    <w:uiPriority w:val="1"/>
    <w:qFormat/>
    <w:pPr>
      <w:ind w:left="490" w:hanging="27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16C3"/>
    <w:pPr>
      <w:tabs>
        <w:tab w:val="center" w:pos="4680"/>
        <w:tab w:val="right" w:pos="9360"/>
      </w:tabs>
    </w:pPr>
  </w:style>
  <w:style w:type="character" w:customStyle="1" w:styleId="HeaderChar">
    <w:name w:val="Header Char"/>
    <w:basedOn w:val="DefaultParagraphFont"/>
    <w:link w:val="Header"/>
    <w:uiPriority w:val="99"/>
    <w:rsid w:val="007516C3"/>
    <w:rPr>
      <w:rFonts w:ascii="Arial MT" w:eastAsia="Arial MT" w:hAnsi="Arial MT" w:cs="Arial MT"/>
      <w:lang w:val="uk-UA"/>
    </w:rPr>
  </w:style>
  <w:style w:type="paragraph" w:styleId="Footer">
    <w:name w:val="footer"/>
    <w:basedOn w:val="Normal"/>
    <w:link w:val="FooterChar"/>
    <w:uiPriority w:val="99"/>
    <w:unhideWhenUsed/>
    <w:rsid w:val="007516C3"/>
    <w:pPr>
      <w:tabs>
        <w:tab w:val="center" w:pos="4680"/>
        <w:tab w:val="right" w:pos="9360"/>
      </w:tabs>
    </w:pPr>
  </w:style>
  <w:style w:type="character" w:customStyle="1" w:styleId="FooterChar">
    <w:name w:val="Footer Char"/>
    <w:basedOn w:val="DefaultParagraphFont"/>
    <w:link w:val="Footer"/>
    <w:uiPriority w:val="99"/>
    <w:rsid w:val="007516C3"/>
    <w:rPr>
      <w:rFonts w:ascii="Arial MT" w:eastAsia="Arial MT" w:hAnsi="Arial MT" w:cs="Arial MT"/>
      <w:lang w:val="uk-UA"/>
    </w:rPr>
  </w:style>
  <w:style w:type="character" w:customStyle="1" w:styleId="Heading1Char">
    <w:name w:val="Heading 1 Char"/>
    <w:basedOn w:val="DefaultParagraphFont"/>
    <w:link w:val="Heading1"/>
    <w:uiPriority w:val="1"/>
    <w:rsid w:val="007D6289"/>
    <w:rPr>
      <w:rFonts w:ascii="Arial" w:eastAsia="Arial" w:hAnsi="Arial" w:cs="Arial"/>
      <w:b/>
      <w:bCs/>
      <w:sz w:val="24"/>
      <w:szCs w:val="24"/>
      <w:lang w:val="uk-UA"/>
    </w:rPr>
  </w:style>
  <w:style w:type="character" w:customStyle="1" w:styleId="BodyTextChar">
    <w:name w:val="Body Text Char"/>
    <w:basedOn w:val="DefaultParagraphFont"/>
    <w:link w:val="BodyText"/>
    <w:uiPriority w:val="1"/>
    <w:rsid w:val="007D6289"/>
    <w:rPr>
      <w:rFonts w:ascii="Arial MT" w:eastAsia="Arial MT" w:hAnsi="Arial MT" w:cs="Arial MT"/>
      <w:sz w:val="24"/>
      <w:szCs w:val="24"/>
      <w:lang w:val="uk-UA"/>
    </w:rPr>
  </w:style>
  <w:style w:type="character" w:styleId="Hyperlink">
    <w:name w:val="Hyperlink"/>
    <w:basedOn w:val="DefaultParagraphFont"/>
    <w:uiPriority w:val="99"/>
    <w:semiHidden/>
    <w:unhideWhenUsed/>
    <w:rsid w:val="007D62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50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yna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Технічне-завдання-закупівлі-послуг_Миколаїв 2022_new.docx</vt:lpstr>
    </vt:vector>
  </TitlesOfParts>
  <Company>Udenrigsministeriet</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Технічне-завдання-закупівлі-послуг_Миколаїв 2022_new.docx</dc:title>
  <dc:creator>Dmytro Victorovych Naidin</dc:creator>
  <cp:lastModifiedBy>Yana Ryzak</cp:lastModifiedBy>
  <cp:revision>4</cp:revision>
  <dcterms:created xsi:type="dcterms:W3CDTF">2022-12-12T11:43:00Z</dcterms:created>
  <dcterms:modified xsi:type="dcterms:W3CDTF">2022-12-16T21:41:00Z</dcterms:modified>
</cp:coreProperties>
</file>